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4A0" w:firstRow="1" w:lastRow="0" w:firstColumn="1" w:lastColumn="0" w:noHBand="0" w:noVBand="1"/>
      </w:tblPr>
      <w:tblGrid>
        <w:gridCol w:w="1984"/>
        <w:gridCol w:w="2835"/>
        <w:gridCol w:w="283"/>
        <w:gridCol w:w="1984"/>
        <w:gridCol w:w="2319"/>
      </w:tblGrid>
      <w:tr w:rsidR="009F4F02">
        <w:trPr>
          <w:trHeight w:val="4535"/>
        </w:trPr>
        <w:tc>
          <w:tcPr>
            <w:tcW w:w="9405" w:type="dxa"/>
            <w:gridSpan w:val="5"/>
            <w:vAlign w:val="center"/>
          </w:tcPr>
          <w:p w:rsidR="009F4F02" w:rsidRDefault="002013D6">
            <w:pPr>
              <w:jc w:val="center"/>
            </w:pPr>
            <w:r>
              <w:rPr>
                <w:noProof/>
              </w:rPr>
              <w:drawing>
                <wp:inline distT="0" distB="0" distL="0" distR="0">
                  <wp:extent cx="4019550" cy="3524250"/>
                  <wp:effectExtent l="0" t="0" r="0" b="0"/>
                  <wp:docPr id="1" name="test image"/>
                  <wp:cNvGraphicFramePr/>
                  <a:graphic xmlns:a="http://schemas.openxmlformats.org/drawingml/2006/main">
                    <a:graphicData uri="http://schemas.openxmlformats.org/drawingml/2006/picture">
                      <pic:pic xmlns:pic="http://schemas.openxmlformats.org/drawingml/2006/picture">
                        <pic:nvPicPr>
                          <pic:cNvPr id="2" name="test image"/>
                          <pic:cNvPicPr/>
                        </pic:nvPicPr>
                        <pic:blipFill>
                          <a:blip r:embed="rId9"/>
                          <a:stretch>
                            <a:fillRect/>
                          </a:stretch>
                        </pic:blipFill>
                        <pic:spPr>
                          <a:xfrm>
                            <a:off x="0" y="0"/>
                            <a:ext cx="4019550" cy="3524250"/>
                          </a:xfrm>
                          <a:prstGeom prst="rect">
                            <a:avLst/>
                          </a:prstGeom>
                        </pic:spPr>
                      </pic:pic>
                    </a:graphicData>
                  </a:graphic>
                </wp:inline>
              </w:drawing>
            </w:r>
          </w:p>
        </w:tc>
        <w:bookmarkStart w:id="0" w:name="_GoBack"/>
        <w:bookmarkEnd w:id="0"/>
      </w:tr>
      <w:tr w:rsidR="009F4F02">
        <w:trPr>
          <w:trHeight w:val="567"/>
        </w:trPr>
        <w:tc>
          <w:tcPr>
            <w:tcW w:w="9405" w:type="dxa"/>
            <w:gridSpan w:val="5"/>
          </w:tcPr>
          <w:p w:rsidR="009F4F02" w:rsidRDefault="009F4F02"/>
        </w:tc>
      </w:tr>
      <w:tr w:rsidR="009F4F02">
        <w:tc>
          <w:tcPr>
            <w:tcW w:w="9405" w:type="dxa"/>
            <w:gridSpan w:val="5"/>
          </w:tcPr>
          <w:p w:rsidR="009F4F02" w:rsidRDefault="009F4F02"/>
        </w:tc>
      </w:tr>
      <w:tr w:rsidR="009F4F02">
        <w:tc>
          <w:tcPr>
            <w:tcW w:w="9405" w:type="dxa"/>
            <w:gridSpan w:val="5"/>
          </w:tcPr>
          <w:p w:rsidR="009F4F02" w:rsidRDefault="002013D6">
            <w:pPr>
              <w:pStyle w:val="24B"/>
              <w:jc w:val="center"/>
            </w:pPr>
            <w:r>
              <w:t>Audit Report</w:t>
            </w:r>
          </w:p>
        </w:tc>
      </w:tr>
      <w:tr w:rsidR="009F4F02">
        <w:tc>
          <w:tcPr>
            <w:tcW w:w="9405" w:type="dxa"/>
            <w:gridSpan w:val="5"/>
          </w:tcPr>
          <w:p w:rsidR="009F4F02" w:rsidRDefault="002013D6">
            <w:pPr>
              <w:pStyle w:val="24B"/>
              <w:jc w:val="center"/>
            </w:pPr>
            <w:r>
              <w:t>JUSTICE OF THE PEACE - PRECINCT 1</w:t>
            </w:r>
            <w:r>
              <w:br/>
              <w:t>JULY 1, 2014 – SEPTEMBER 30, 2014</w:t>
            </w:r>
            <w:r>
              <w:br/>
              <w:t>Status:</w:t>
            </w:r>
            <w:r w:rsidR="00351F26">
              <w:t xml:space="preserve"> Final</w:t>
            </w:r>
          </w:p>
        </w:tc>
      </w:tr>
      <w:tr w:rsidR="009F4F02">
        <w:tc>
          <w:tcPr>
            <w:tcW w:w="9405" w:type="dxa"/>
            <w:gridSpan w:val="5"/>
          </w:tcPr>
          <w:p w:rsidR="009F4F02" w:rsidRDefault="002013D6">
            <w:r>
              <w:br/>
            </w:r>
            <w:r>
              <w:br/>
            </w:r>
            <w:r>
              <w:br/>
            </w:r>
            <w:r>
              <w:br/>
            </w:r>
            <w:r>
              <w:br/>
            </w:r>
          </w:p>
        </w:tc>
      </w:tr>
      <w:tr w:rsidR="009F4F02">
        <w:tc>
          <w:tcPr>
            <w:tcW w:w="4819" w:type="dxa"/>
            <w:gridSpan w:val="2"/>
          </w:tcPr>
          <w:p w:rsidR="009F4F02" w:rsidRDefault="002013D6">
            <w:pPr>
              <w:pStyle w:val="Bold"/>
            </w:pPr>
            <w:r>
              <w:t>For action:</w:t>
            </w:r>
          </w:p>
        </w:tc>
        <w:tc>
          <w:tcPr>
            <w:tcW w:w="283" w:type="dxa"/>
          </w:tcPr>
          <w:p w:rsidR="009F4F02" w:rsidRDefault="009F4F02"/>
        </w:tc>
        <w:tc>
          <w:tcPr>
            <w:tcW w:w="4303" w:type="dxa"/>
            <w:gridSpan w:val="2"/>
          </w:tcPr>
          <w:p w:rsidR="009F4F02" w:rsidRDefault="002013D6">
            <w:pPr>
              <w:pStyle w:val="Bold"/>
            </w:pPr>
            <w:r>
              <w:t>For information:</w:t>
            </w:r>
          </w:p>
        </w:tc>
      </w:tr>
      <w:tr w:rsidR="009F4F02">
        <w:tc>
          <w:tcPr>
            <w:tcW w:w="1984" w:type="dxa"/>
          </w:tcPr>
          <w:p w:rsidR="009F4F02" w:rsidRDefault="002013D6">
            <w:r>
              <w:t>Judge Paul Raleeh</w:t>
            </w:r>
          </w:p>
        </w:tc>
        <w:tc>
          <w:tcPr>
            <w:tcW w:w="2835" w:type="dxa"/>
          </w:tcPr>
          <w:p w:rsidR="009F4F02" w:rsidRDefault="002013D6">
            <w:r>
              <w:t>Justice of the Peace Precinct 1</w:t>
            </w:r>
          </w:p>
        </w:tc>
        <w:tc>
          <w:tcPr>
            <w:tcW w:w="283" w:type="dxa"/>
          </w:tcPr>
          <w:p w:rsidR="009F4F02" w:rsidRDefault="009F4F02"/>
        </w:tc>
        <w:tc>
          <w:tcPr>
            <w:tcW w:w="1984" w:type="dxa"/>
          </w:tcPr>
          <w:p w:rsidR="009F4F02" w:rsidRDefault="002013D6">
            <w:r>
              <w:t>Jeff May</w:t>
            </w:r>
          </w:p>
        </w:tc>
        <w:tc>
          <w:tcPr>
            <w:tcW w:w="2319" w:type="dxa"/>
          </w:tcPr>
          <w:p w:rsidR="009F4F02" w:rsidRDefault="002013D6">
            <w:r>
              <w:t>County Auditor</w:t>
            </w:r>
          </w:p>
        </w:tc>
      </w:tr>
      <w:tr w:rsidR="009F4F02">
        <w:tc>
          <w:tcPr>
            <w:tcW w:w="5102" w:type="dxa"/>
            <w:gridSpan w:val="3"/>
          </w:tcPr>
          <w:p w:rsidR="009F4F02" w:rsidRDefault="009F4F02"/>
        </w:tc>
        <w:tc>
          <w:tcPr>
            <w:tcW w:w="1984" w:type="dxa"/>
          </w:tcPr>
          <w:p w:rsidR="009F4F02" w:rsidRDefault="00351F26">
            <w:r>
              <w:t>Linda Riggs</w:t>
            </w:r>
          </w:p>
        </w:tc>
        <w:tc>
          <w:tcPr>
            <w:tcW w:w="2319" w:type="dxa"/>
          </w:tcPr>
          <w:p w:rsidR="009F4F02" w:rsidRDefault="00351F26">
            <w:r>
              <w:t>First</w:t>
            </w:r>
            <w:r w:rsidR="002013D6">
              <w:t xml:space="preserve"> Assistant Auditor</w:t>
            </w:r>
          </w:p>
        </w:tc>
      </w:tr>
    </w:tbl>
    <w:p w:rsidR="009F4F02" w:rsidRDefault="009F4F02">
      <w:pPr>
        <w:sectPr w:rsidR="009F4F02">
          <w:headerReference w:type="default" r:id="rId10"/>
          <w:footerReference w:type="default" r:id="rId11"/>
          <w:pgSz w:w="12240" w:h="15840"/>
          <w:pgMar w:top="1417" w:right="1417" w:bottom="1417" w:left="1417" w:header="0" w:footer="0" w:gutter="0"/>
          <w:cols w:space="720"/>
        </w:sectPr>
      </w:pPr>
    </w:p>
    <w:tbl>
      <w:tblPr>
        <w:tblW w:w="0" w:type="auto"/>
        <w:tblInd w:w="10" w:type="dxa"/>
        <w:tblLayout w:type="fixed"/>
        <w:tblCellMar>
          <w:left w:w="10" w:type="dxa"/>
          <w:right w:w="10" w:type="dxa"/>
        </w:tblCellMar>
        <w:tblLook w:val="04A0" w:firstRow="1" w:lastRow="0" w:firstColumn="1" w:lastColumn="0" w:noHBand="0" w:noVBand="1"/>
      </w:tblPr>
      <w:tblGrid>
        <w:gridCol w:w="9405"/>
      </w:tblGrid>
      <w:tr w:rsidR="009F4F02">
        <w:tc>
          <w:tcPr>
            <w:tcW w:w="9405" w:type="dxa"/>
          </w:tcPr>
          <w:p w:rsidR="009F4F02" w:rsidRDefault="002013D6">
            <w:pPr>
              <w:pStyle w:val="Bold"/>
              <w:jc w:val="center"/>
            </w:pPr>
            <w:r>
              <w:lastRenderedPageBreak/>
              <w:t>Audit Report</w:t>
            </w:r>
            <w:r>
              <w:br/>
              <w:t>JUSTICE OF THE PEACE - PRECINCT 1</w:t>
            </w:r>
            <w:r>
              <w:br/>
              <w:t>JULY 1, 2014 – SEPTEMBER 30, 2014</w:t>
            </w:r>
          </w:p>
        </w:tc>
      </w:tr>
      <w:tr w:rsidR="009F4F02">
        <w:tc>
          <w:tcPr>
            <w:tcW w:w="9405" w:type="dxa"/>
          </w:tcPr>
          <w:p w:rsidR="009F4F02" w:rsidRDefault="002013D6">
            <w:pPr>
              <w:pStyle w:val="Heading1"/>
              <w:jc w:val="center"/>
            </w:pPr>
            <w:r>
              <w:t>Report Summary</w:t>
            </w:r>
          </w:p>
        </w:tc>
      </w:tr>
      <w:tr w:rsidR="009F4F02">
        <w:tc>
          <w:tcPr>
            <w:tcW w:w="9405" w:type="dxa"/>
          </w:tcPr>
          <w:p w:rsidR="009F4F02" w:rsidRDefault="009F4F02"/>
        </w:tc>
      </w:tr>
      <w:tr w:rsidR="009F4F02">
        <w:tc>
          <w:tcPr>
            <w:tcW w:w="9405" w:type="dxa"/>
          </w:tcPr>
          <w:p w:rsidR="009F4F02" w:rsidRDefault="002013D6">
            <w:r>
              <w:t>As part of the 2014 Compliance Audit Plan, an audit of the Justice of the Peace - Precinct 1 was conducted in accordance with Texas Local Government Code §115.002.</w:t>
            </w:r>
          </w:p>
        </w:tc>
      </w:tr>
      <w:tr w:rsidR="009F4F02">
        <w:tc>
          <w:tcPr>
            <w:tcW w:w="9405" w:type="dxa"/>
          </w:tcPr>
          <w:p w:rsidR="009F4F02" w:rsidRDefault="009F4F02"/>
        </w:tc>
      </w:tr>
      <w:tr w:rsidR="009F4F02">
        <w:tc>
          <w:tcPr>
            <w:tcW w:w="9405" w:type="dxa"/>
          </w:tcPr>
          <w:p w:rsidR="008838DD" w:rsidRDefault="002013D6">
            <w:pPr>
              <w:widowControl w:val="0"/>
              <w:autoSpaceDE w:val="0"/>
              <w:autoSpaceDN w:val="0"/>
              <w:adjustRightInd w:val="0"/>
              <w:spacing w:before="0" w:after="0"/>
            </w:pPr>
            <w:r>
              <w:t>The overall objective of the audit was to provide assurance that internal controls are in place to ensure:</w:t>
            </w:r>
          </w:p>
          <w:p w:rsidR="008838DD" w:rsidRDefault="008838DD">
            <w:pPr>
              <w:widowControl w:val="0"/>
              <w:autoSpaceDE w:val="0"/>
              <w:autoSpaceDN w:val="0"/>
              <w:adjustRightInd w:val="0"/>
              <w:spacing w:before="0" w:after="0"/>
            </w:pPr>
          </w:p>
          <w:p w:rsidR="008838DD" w:rsidRDefault="002013D6">
            <w:pPr>
              <w:widowControl w:val="0"/>
              <w:numPr>
                <w:ilvl w:val="0"/>
                <w:numId w:val="1"/>
              </w:numPr>
              <w:autoSpaceDE w:val="0"/>
              <w:autoSpaceDN w:val="0"/>
              <w:adjustRightInd w:val="0"/>
              <w:spacing w:before="0" w:after="0"/>
              <w:ind w:left="480" w:hanging="180"/>
            </w:pPr>
            <w:r>
              <w:t>The officer has collected all the money they are obligated to collect</w:t>
            </w:r>
          </w:p>
          <w:p w:rsidR="008838DD" w:rsidRDefault="002013D6">
            <w:pPr>
              <w:widowControl w:val="0"/>
              <w:numPr>
                <w:ilvl w:val="0"/>
                <w:numId w:val="1"/>
              </w:numPr>
              <w:autoSpaceDE w:val="0"/>
              <w:autoSpaceDN w:val="0"/>
              <w:adjustRightInd w:val="0"/>
              <w:spacing w:before="0" w:after="0"/>
              <w:ind w:left="480" w:hanging="180"/>
            </w:pPr>
            <w:r>
              <w:t>The money collected was properly remitted to the appropriate party</w:t>
            </w:r>
          </w:p>
          <w:p w:rsidR="008838DD" w:rsidRDefault="002013D6">
            <w:pPr>
              <w:widowControl w:val="0"/>
              <w:numPr>
                <w:ilvl w:val="0"/>
                <w:numId w:val="1"/>
              </w:numPr>
              <w:autoSpaceDE w:val="0"/>
              <w:autoSpaceDN w:val="0"/>
              <w:adjustRightInd w:val="0"/>
              <w:spacing w:before="0" w:after="0"/>
              <w:ind w:left="480" w:hanging="180"/>
            </w:pPr>
            <w:r>
              <w:t>All funds are properly managed</w:t>
            </w:r>
          </w:p>
          <w:p w:rsidR="008838DD" w:rsidRDefault="002013D6">
            <w:pPr>
              <w:widowControl w:val="0"/>
              <w:numPr>
                <w:ilvl w:val="0"/>
                <w:numId w:val="1"/>
              </w:numPr>
              <w:autoSpaceDE w:val="0"/>
              <w:autoSpaceDN w:val="0"/>
              <w:adjustRightInd w:val="0"/>
              <w:spacing w:before="0" w:after="0"/>
              <w:ind w:left="480" w:hanging="180"/>
            </w:pPr>
            <w:r>
              <w:t xml:space="preserve">All money is properly accounted for, accurately reported, and adequately safeguarded </w:t>
            </w:r>
          </w:p>
          <w:p w:rsidR="008838DD" w:rsidRDefault="002013D6">
            <w:pPr>
              <w:widowControl w:val="0"/>
              <w:numPr>
                <w:ilvl w:val="0"/>
                <w:numId w:val="1"/>
              </w:numPr>
              <w:autoSpaceDE w:val="0"/>
              <w:autoSpaceDN w:val="0"/>
              <w:adjustRightInd w:val="0"/>
              <w:spacing w:before="0" w:after="0"/>
              <w:ind w:left="480" w:hanging="180"/>
            </w:pPr>
            <w:r>
              <w:t>The operations of the office conform to prescribed procedures</w:t>
            </w:r>
          </w:p>
          <w:p w:rsidR="008838DD" w:rsidRDefault="002013D6">
            <w:pPr>
              <w:widowControl w:val="0"/>
              <w:numPr>
                <w:ilvl w:val="0"/>
                <w:numId w:val="1"/>
              </w:numPr>
              <w:autoSpaceDE w:val="0"/>
              <w:autoSpaceDN w:val="0"/>
              <w:adjustRightInd w:val="0"/>
              <w:spacing w:before="0" w:after="0"/>
              <w:ind w:left="480" w:hanging="180"/>
            </w:pPr>
            <w:r>
              <w:t xml:space="preserve">Exposure to potential risk is minimized </w:t>
            </w:r>
          </w:p>
          <w:p w:rsidR="008838DD" w:rsidRDefault="008838DD">
            <w:pPr>
              <w:widowControl w:val="0"/>
              <w:autoSpaceDE w:val="0"/>
              <w:autoSpaceDN w:val="0"/>
              <w:adjustRightInd w:val="0"/>
              <w:spacing w:after="0"/>
            </w:pPr>
          </w:p>
        </w:tc>
      </w:tr>
      <w:tr w:rsidR="009F4F02">
        <w:tc>
          <w:tcPr>
            <w:tcW w:w="9405" w:type="dxa"/>
          </w:tcPr>
          <w:p w:rsidR="009F4F02" w:rsidRDefault="002013D6">
            <w:r>
              <w:br/>
              <w:t>The audit scope included an audit of banking, cash receipts and internal controls.  The time period audited was July 1, 2014 through September 30, 2014.</w:t>
            </w:r>
            <w:r>
              <w:br/>
            </w:r>
            <w:r>
              <w:br/>
              <w:t>The results of the testing of the controls and transactions did not disclose any instances of non-compliance within the scope of the audit.  However, the audit was not intended to provide absolute assurance there are no procedures, activities, or controls that could be strengthened.  The objective was to provide reasonable assurance County assets are safeguarded and appropriately managed.</w:t>
            </w:r>
            <w:r>
              <w:br/>
            </w:r>
            <w:r>
              <w:br/>
              <w:t>An exit conference with the Justice of the Peace Precinct 1 was held on Thursday, September 10, 2015 to discuss this report.</w:t>
            </w:r>
            <w:r>
              <w:br/>
            </w:r>
            <w:r>
              <w:br/>
              <w:t>The time and assistance provided by the Justice of the Peace Precinct 1 and the staff during this engagement is greatly appreciated.</w:t>
            </w:r>
          </w:p>
        </w:tc>
      </w:tr>
    </w:tbl>
    <w:p w:rsidR="002013D6" w:rsidRDefault="002013D6"/>
    <w:sectPr w:rsidR="002013D6">
      <w:headerReference w:type="default" r:id="rId12"/>
      <w:footerReference w:type="default" r:id="rId13"/>
      <w:pgSz w:w="12240" w:h="15840"/>
      <w:pgMar w:top="1417" w:right="1417" w:bottom="1417"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028" w:rsidRDefault="00B14028">
      <w:pPr>
        <w:spacing w:before="0" w:after="0"/>
      </w:pPr>
      <w:r>
        <w:separator/>
      </w:r>
    </w:p>
  </w:endnote>
  <w:endnote w:type="continuationSeparator" w:id="0">
    <w:p w:rsidR="00B14028" w:rsidRDefault="00B140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DD" w:rsidRDefault="002013D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DD" w:rsidRDefault="002013D6">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028" w:rsidRDefault="00B14028">
      <w:pPr>
        <w:spacing w:before="0" w:after="0"/>
      </w:pPr>
      <w:r>
        <w:separator/>
      </w:r>
    </w:p>
  </w:footnote>
  <w:footnote w:type="continuationSeparator" w:id="0">
    <w:p w:rsidR="00B14028" w:rsidRDefault="00B1402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DD" w:rsidRDefault="002013D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DD" w:rsidRDefault="002013D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F0D9F8"/>
    <w:lvl w:ilvl="0">
      <w:start w:val="1"/>
      <w:numFmt w:val="bullet"/>
      <w:lvlText w:val="*"/>
      <w:lvlJc w:val="left"/>
    </w:lvl>
  </w:abstractNum>
  <w:num w:numId="1">
    <w:abstractNumId w:val="0"/>
    <w:lvlOverride w:ilvl="0">
      <w:lvl w:ilvl="0">
        <w:numFmt w:val="bullet"/>
        <w:lvlText w:val=""/>
        <w:legacy w:legacy="1" w:legacySpace="0" w:legacyIndent="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02"/>
    <w:rsid w:val="002013D6"/>
    <w:rsid w:val="00351F26"/>
    <w:rsid w:val="004E5BA0"/>
    <w:rsid w:val="008838DD"/>
    <w:rsid w:val="009F4F02"/>
    <w:rsid w:val="00B14028"/>
    <w:rsid w:val="00B9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0" w:after="20" w:line="240" w:lineRule="auto"/>
    </w:pPr>
    <w:rPr>
      <w:rFonts w:ascii="Calibri" w:hAnsi="Calibri" w:cs="Calibri"/>
    </w:rPr>
  </w:style>
  <w:style w:type="paragraph" w:styleId="Heading1">
    <w:name w:val="heading 1"/>
    <w:qFormat/>
    <w:pPr>
      <w:spacing w:before="20" w:after="20" w:line="240" w:lineRule="auto"/>
      <w:outlineLvl w:val="0"/>
    </w:pPr>
    <w:rPr>
      <w:rFonts w:ascii="Calibri" w:hAnsi="Calibri" w:cs="Calibri"/>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rder">
    <w:name w:val="Normal_Border"/>
    <w:qFormat/>
    <w:pPr>
      <w:spacing w:before="20" w:after="20" w:line="240" w:lineRule="auto"/>
    </w:pPr>
    <w:rPr>
      <w:rFonts w:ascii="Calibri" w:hAnsi="Calibri" w:cs="Calibri"/>
    </w:rPr>
  </w:style>
  <w:style w:type="paragraph" w:customStyle="1" w:styleId="Bold">
    <w:name w:val="Bold"/>
    <w:qFormat/>
    <w:pPr>
      <w:spacing w:before="20" w:after="20" w:line="240" w:lineRule="auto"/>
    </w:pPr>
    <w:rPr>
      <w:rFonts w:ascii="Calibri" w:hAnsi="Calibri" w:cs="Calibri"/>
      <w:b/>
    </w:rPr>
  </w:style>
  <w:style w:type="paragraph" w:customStyle="1" w:styleId="BoldBorder">
    <w:name w:val="Bold_Border"/>
    <w:qFormat/>
    <w:pPr>
      <w:spacing w:before="20" w:after="20" w:line="240" w:lineRule="auto"/>
    </w:pPr>
    <w:rPr>
      <w:rFonts w:ascii="Calibri" w:hAnsi="Calibri" w:cs="Calibri"/>
      <w:b/>
    </w:rPr>
  </w:style>
  <w:style w:type="paragraph" w:customStyle="1" w:styleId="Italic">
    <w:name w:val="Italic"/>
    <w:qFormat/>
    <w:pPr>
      <w:spacing w:before="20" w:after="20" w:line="240" w:lineRule="auto"/>
    </w:pPr>
    <w:rPr>
      <w:rFonts w:ascii="Calibri" w:hAnsi="Calibri" w:cs="Calibri"/>
      <w:i/>
    </w:rPr>
  </w:style>
  <w:style w:type="paragraph" w:customStyle="1" w:styleId="Underline">
    <w:name w:val="Underline"/>
    <w:qFormat/>
    <w:pPr>
      <w:spacing w:before="20" w:after="20" w:line="240" w:lineRule="auto"/>
    </w:pPr>
    <w:rPr>
      <w:rFonts w:ascii="Calibri" w:hAnsi="Calibri" w:cs="Calibri"/>
      <w:u w:val="single"/>
    </w:rPr>
  </w:style>
  <w:style w:type="paragraph" w:customStyle="1" w:styleId="BoldUnderline">
    <w:name w:val="BoldUnderline"/>
    <w:qFormat/>
    <w:pPr>
      <w:spacing w:before="20" w:after="20" w:line="240" w:lineRule="auto"/>
    </w:pPr>
    <w:rPr>
      <w:rFonts w:ascii="Calibri" w:hAnsi="Calibri" w:cs="Calibri"/>
      <w:b/>
      <w:u w:val="single"/>
    </w:rPr>
  </w:style>
  <w:style w:type="paragraph" w:customStyle="1" w:styleId="24B">
    <w:name w:val="24B"/>
    <w:qFormat/>
    <w:pPr>
      <w:spacing w:before="20" w:after="20" w:line="240" w:lineRule="auto"/>
    </w:pPr>
    <w:rPr>
      <w:rFonts w:ascii="Calibri" w:hAnsi="Calibri" w:cs="Calibri"/>
      <w:b/>
      <w:sz w:val="48"/>
    </w:rPr>
  </w:style>
  <w:style w:type="paragraph" w:styleId="BalloonText">
    <w:name w:val="Balloon Text"/>
    <w:basedOn w:val="Normal"/>
    <w:link w:val="BalloonTextChar"/>
    <w:uiPriority w:val="99"/>
    <w:semiHidden/>
    <w:unhideWhenUsed/>
    <w:rsid w:val="00351F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0" w:after="20" w:line="240" w:lineRule="auto"/>
    </w:pPr>
    <w:rPr>
      <w:rFonts w:ascii="Calibri" w:hAnsi="Calibri" w:cs="Calibri"/>
    </w:rPr>
  </w:style>
  <w:style w:type="paragraph" w:styleId="Heading1">
    <w:name w:val="heading 1"/>
    <w:qFormat/>
    <w:pPr>
      <w:spacing w:before="20" w:after="20" w:line="240" w:lineRule="auto"/>
      <w:outlineLvl w:val="0"/>
    </w:pPr>
    <w:rPr>
      <w:rFonts w:ascii="Calibri" w:hAnsi="Calibri" w:cs="Calibri"/>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rder">
    <w:name w:val="Normal_Border"/>
    <w:qFormat/>
    <w:pPr>
      <w:spacing w:before="20" w:after="20" w:line="240" w:lineRule="auto"/>
    </w:pPr>
    <w:rPr>
      <w:rFonts w:ascii="Calibri" w:hAnsi="Calibri" w:cs="Calibri"/>
    </w:rPr>
  </w:style>
  <w:style w:type="paragraph" w:customStyle="1" w:styleId="Bold">
    <w:name w:val="Bold"/>
    <w:qFormat/>
    <w:pPr>
      <w:spacing w:before="20" w:after="20" w:line="240" w:lineRule="auto"/>
    </w:pPr>
    <w:rPr>
      <w:rFonts w:ascii="Calibri" w:hAnsi="Calibri" w:cs="Calibri"/>
      <w:b/>
    </w:rPr>
  </w:style>
  <w:style w:type="paragraph" w:customStyle="1" w:styleId="BoldBorder">
    <w:name w:val="Bold_Border"/>
    <w:qFormat/>
    <w:pPr>
      <w:spacing w:before="20" w:after="20" w:line="240" w:lineRule="auto"/>
    </w:pPr>
    <w:rPr>
      <w:rFonts w:ascii="Calibri" w:hAnsi="Calibri" w:cs="Calibri"/>
      <w:b/>
    </w:rPr>
  </w:style>
  <w:style w:type="paragraph" w:customStyle="1" w:styleId="Italic">
    <w:name w:val="Italic"/>
    <w:qFormat/>
    <w:pPr>
      <w:spacing w:before="20" w:after="20" w:line="240" w:lineRule="auto"/>
    </w:pPr>
    <w:rPr>
      <w:rFonts w:ascii="Calibri" w:hAnsi="Calibri" w:cs="Calibri"/>
      <w:i/>
    </w:rPr>
  </w:style>
  <w:style w:type="paragraph" w:customStyle="1" w:styleId="Underline">
    <w:name w:val="Underline"/>
    <w:qFormat/>
    <w:pPr>
      <w:spacing w:before="20" w:after="20" w:line="240" w:lineRule="auto"/>
    </w:pPr>
    <w:rPr>
      <w:rFonts w:ascii="Calibri" w:hAnsi="Calibri" w:cs="Calibri"/>
      <w:u w:val="single"/>
    </w:rPr>
  </w:style>
  <w:style w:type="paragraph" w:customStyle="1" w:styleId="BoldUnderline">
    <w:name w:val="BoldUnderline"/>
    <w:qFormat/>
    <w:pPr>
      <w:spacing w:before="20" w:after="20" w:line="240" w:lineRule="auto"/>
    </w:pPr>
    <w:rPr>
      <w:rFonts w:ascii="Calibri" w:hAnsi="Calibri" w:cs="Calibri"/>
      <w:b/>
      <w:u w:val="single"/>
    </w:rPr>
  </w:style>
  <w:style w:type="paragraph" w:customStyle="1" w:styleId="24B">
    <w:name w:val="24B"/>
    <w:qFormat/>
    <w:pPr>
      <w:spacing w:before="20" w:after="20" w:line="240" w:lineRule="auto"/>
    </w:pPr>
    <w:rPr>
      <w:rFonts w:ascii="Calibri" w:hAnsi="Calibri" w:cs="Calibri"/>
      <w:b/>
      <w:sz w:val="48"/>
    </w:rPr>
  </w:style>
  <w:style w:type="paragraph" w:styleId="BalloonText">
    <w:name w:val="Balloon Text"/>
    <w:basedOn w:val="Normal"/>
    <w:link w:val="BalloonTextChar"/>
    <w:uiPriority w:val="99"/>
    <w:semiHidden/>
    <w:unhideWhenUsed/>
    <w:rsid w:val="00351F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5E9C47AD8074994E059DF6DA1C711" ma:contentTypeVersion="2" ma:contentTypeDescription="Create a new document." ma:contentTypeScope="" ma:versionID="0e1c3c2e09df4c6d0f6948ffb4a8f6f9">
  <xsd:schema xmlns:xsd="http://www.w3.org/2001/XMLSchema" xmlns:xs="http://www.w3.org/2001/XMLSchema" xmlns:p="http://schemas.microsoft.com/office/2006/metadata/properties" xmlns:ns2="72d933ef-dbca-47af-a5ba-1a7507fce23b" targetNamespace="http://schemas.microsoft.com/office/2006/metadata/properties" ma:root="true" ma:fieldsID="c0df713b46529f1420d00c141377f917" ns2:_="">
    <xsd:import namespace="72d933ef-dbca-47af-a5ba-1a7507fce23b"/>
    <xsd:element name="properties">
      <xsd:complexType>
        <xsd:sequence>
          <xsd:element name="documentManagement">
            <xsd:complexType>
              <xsd:all>
                <xsd:element ref="ns2:Year"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933ef-dbca-47af-a5ba-1a7507fce23b"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4"/>
        </xsd:restriction>
      </xsd:simpleType>
    </xsd:element>
    <xsd:element name="Category" ma:index="9" nillable="true" ma:displayName="Category" ma:format="Dropdown" ma:internalName="Category">
      <xsd:simpleType>
        <xsd:restriction base="dms:Choice">
          <xsd:enumeration value="Check Register"/>
          <xsd:enumeration value="Audit"/>
          <xsd:enumeration value="Budg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72d933ef-dbca-47af-a5ba-1a7507fce23b">2014</Year>
    <Category xmlns="72d933ef-dbca-47af-a5ba-1a7507fce23b">Audit</Category>
  </documentManagement>
</p:properties>
</file>

<file path=customXml/itemProps1.xml><?xml version="1.0" encoding="utf-8"?>
<ds:datastoreItem xmlns:ds="http://schemas.openxmlformats.org/officeDocument/2006/customXml" ds:itemID="{9D7B06BA-A764-49FD-AD2E-BFA0C4269D10}"/>
</file>

<file path=customXml/itemProps2.xml><?xml version="1.0" encoding="utf-8"?>
<ds:datastoreItem xmlns:ds="http://schemas.openxmlformats.org/officeDocument/2006/customXml" ds:itemID="{CB258DCF-93E5-495A-A018-AC1AEE7643CF}"/>
</file>

<file path=customXml/itemProps3.xml><?xml version="1.0" encoding="utf-8"?>
<ds:datastoreItem xmlns:ds="http://schemas.openxmlformats.org/officeDocument/2006/customXml" ds:itemID="{1C0ED005-42EE-476D-BB94-153EAA61381C}"/>
</file>

<file path=customXml/itemProps4.xml><?xml version="1.0" encoding="utf-8"?>
<ds:datastoreItem xmlns:ds="http://schemas.openxmlformats.org/officeDocument/2006/customXml" ds:itemID="{5B551A53-75ED-46FE-82AD-442674B3CB10}"/>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1532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Collin County Government</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Audit FY14 July - Sept.docx</dc:title>
  <dc:creator>George Varghese</dc:creator>
  <cp:lastModifiedBy>Shannon Williams</cp:lastModifiedBy>
  <cp:revision>2</cp:revision>
  <cp:lastPrinted>2015-11-25T16:00:00Z</cp:lastPrinted>
  <dcterms:created xsi:type="dcterms:W3CDTF">2016-01-15T19:35:00Z</dcterms:created>
  <dcterms:modified xsi:type="dcterms:W3CDTF">2016-01-15T19:35:00Z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0x010100F385E9C47AD8074994E059DF6DA1C711</vt:lpwstr>
  </property>
</Properties>
</file>